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沈阳北方交通重工集团有限公司（二期、三期6#、11#、10#）地块</w:t>
      </w:r>
      <w:r>
        <w:rPr>
          <w:rFonts w:ascii="方正小标宋简体" w:hAnsi="方正小标宋简体" w:eastAsia="方正小标宋简体" w:cs="方正小标宋简体"/>
          <w:sz w:val="36"/>
          <w:szCs w:val="36"/>
        </w:rPr>
        <w:t>土壤污染状况调查报告专家组评审意见</w:t>
      </w:r>
    </w:p>
    <w:tbl>
      <w:tblPr>
        <w:tblStyle w:val="5"/>
        <w:tblW w:w="881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263"/>
        <w:gridCol w:w="2388"/>
        <w:gridCol w:w="989"/>
        <w:gridCol w:w="317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2263" w:type="dxa"/>
            <w:vAlign w:val="center"/>
          </w:tcPr>
          <w:p>
            <w:pPr>
              <w:snapToGrid w:val="0"/>
              <w:jc w:val="center"/>
              <w:rPr>
                <w:rFonts w:eastAsia="仿宋_GB2312"/>
                <w:szCs w:val="21"/>
              </w:rPr>
            </w:pPr>
            <w:r>
              <w:rPr>
                <w:rFonts w:eastAsia="仿宋_GB2312"/>
                <w:szCs w:val="21"/>
              </w:rPr>
              <w:t>送审单位</w:t>
            </w:r>
          </w:p>
        </w:tc>
        <w:tc>
          <w:tcPr>
            <w:tcW w:w="6556" w:type="dxa"/>
            <w:gridSpan w:val="3"/>
            <w:vAlign w:val="center"/>
          </w:tcPr>
          <w:p>
            <w:pPr>
              <w:snapToGrid w:val="0"/>
              <w:jc w:val="center"/>
              <w:rPr>
                <w:rFonts w:eastAsia="仿宋_GB2312"/>
                <w:szCs w:val="21"/>
              </w:rPr>
            </w:pPr>
            <w:r>
              <w:rPr>
                <w:rFonts w:hint="eastAsia" w:eastAsia="仿宋_GB2312"/>
                <w:szCs w:val="21"/>
              </w:rPr>
              <w:t>沈阳北方交通重工集团有限公司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88" w:hRule="atLeast"/>
          <w:jc w:val="center"/>
        </w:trPr>
        <w:tc>
          <w:tcPr>
            <w:tcW w:w="2263" w:type="dxa"/>
            <w:vAlign w:val="center"/>
          </w:tcPr>
          <w:p>
            <w:pPr>
              <w:snapToGrid w:val="0"/>
              <w:jc w:val="center"/>
              <w:rPr>
                <w:rFonts w:eastAsia="仿宋_GB2312"/>
                <w:szCs w:val="21"/>
              </w:rPr>
            </w:pPr>
            <w:r>
              <w:rPr>
                <w:rFonts w:eastAsia="仿宋_GB2312"/>
                <w:szCs w:val="21"/>
              </w:rPr>
              <w:t>组织评审单位</w:t>
            </w:r>
          </w:p>
        </w:tc>
        <w:tc>
          <w:tcPr>
            <w:tcW w:w="6556" w:type="dxa"/>
            <w:gridSpan w:val="3"/>
            <w:vAlign w:val="center"/>
          </w:tcPr>
          <w:p>
            <w:pPr>
              <w:snapToGrid w:val="0"/>
              <w:jc w:val="center"/>
              <w:rPr>
                <w:rFonts w:eastAsia="仿宋_GB2312"/>
                <w:szCs w:val="21"/>
              </w:rPr>
            </w:pPr>
            <w:r>
              <w:rPr>
                <w:rFonts w:eastAsia="仿宋_GB2312"/>
                <w:szCs w:val="21"/>
              </w:rPr>
              <w:t>沈阳市环境技术评估中心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3" w:hRule="atLeast"/>
          <w:jc w:val="center"/>
        </w:trPr>
        <w:tc>
          <w:tcPr>
            <w:tcW w:w="2263" w:type="dxa"/>
            <w:vAlign w:val="center"/>
          </w:tcPr>
          <w:p>
            <w:pPr>
              <w:snapToGrid w:val="0"/>
              <w:jc w:val="center"/>
              <w:rPr>
                <w:rFonts w:eastAsia="仿宋_GB2312"/>
                <w:szCs w:val="21"/>
              </w:rPr>
            </w:pPr>
            <w:r>
              <w:rPr>
                <w:rFonts w:eastAsia="仿宋_GB2312"/>
                <w:szCs w:val="21"/>
              </w:rPr>
              <w:t>项目名称</w:t>
            </w:r>
          </w:p>
        </w:tc>
        <w:tc>
          <w:tcPr>
            <w:tcW w:w="6556" w:type="dxa"/>
            <w:gridSpan w:val="3"/>
            <w:vAlign w:val="center"/>
          </w:tcPr>
          <w:p>
            <w:pPr>
              <w:snapToGrid w:val="0"/>
              <w:jc w:val="center"/>
              <w:rPr>
                <w:rFonts w:hint="eastAsia" w:eastAsia="仿宋_GB2312"/>
                <w:szCs w:val="21"/>
              </w:rPr>
            </w:pPr>
            <w:r>
              <w:rPr>
                <w:rFonts w:hint="eastAsia" w:eastAsia="仿宋_GB2312"/>
                <w:szCs w:val="21"/>
              </w:rPr>
              <w:t>沈阳北方交通重工集团有限公司（二期、三期6#、11#、10#）地块</w:t>
            </w:r>
          </w:p>
          <w:p>
            <w:pPr>
              <w:snapToGrid w:val="0"/>
              <w:jc w:val="center"/>
              <w:rPr>
                <w:rFonts w:eastAsia="仿宋_GB2312"/>
                <w:szCs w:val="21"/>
              </w:rPr>
            </w:pPr>
            <w:r>
              <w:rPr>
                <w:rFonts w:eastAsia="仿宋_GB2312"/>
                <w:szCs w:val="21"/>
              </w:rPr>
              <w:t>土壤污染状况调查报告</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8" w:hRule="atLeast"/>
          <w:jc w:val="center"/>
        </w:trPr>
        <w:tc>
          <w:tcPr>
            <w:tcW w:w="2263" w:type="dxa"/>
            <w:vAlign w:val="center"/>
          </w:tcPr>
          <w:p>
            <w:pPr>
              <w:snapToGrid w:val="0"/>
              <w:jc w:val="center"/>
              <w:rPr>
                <w:rFonts w:eastAsia="仿宋_GB2312"/>
                <w:szCs w:val="21"/>
              </w:rPr>
            </w:pPr>
            <w:r>
              <w:rPr>
                <w:rFonts w:eastAsia="仿宋_GB2312"/>
                <w:szCs w:val="21"/>
              </w:rPr>
              <w:t>报告编制单位</w:t>
            </w:r>
          </w:p>
        </w:tc>
        <w:tc>
          <w:tcPr>
            <w:tcW w:w="6556" w:type="dxa"/>
            <w:gridSpan w:val="3"/>
            <w:vAlign w:val="center"/>
          </w:tcPr>
          <w:p>
            <w:pPr>
              <w:snapToGrid w:val="0"/>
              <w:jc w:val="center"/>
              <w:rPr>
                <w:rFonts w:eastAsia="仿宋_GB2312"/>
                <w:szCs w:val="21"/>
              </w:rPr>
            </w:pPr>
            <w:r>
              <w:rPr>
                <w:rFonts w:hint="eastAsia" w:eastAsia="仿宋_GB2312"/>
                <w:szCs w:val="21"/>
              </w:rPr>
              <w:t>沈阳克林环境检测有限公司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2263" w:type="dxa"/>
            <w:vAlign w:val="center"/>
          </w:tcPr>
          <w:p>
            <w:pPr>
              <w:snapToGrid w:val="0"/>
              <w:jc w:val="center"/>
              <w:rPr>
                <w:rFonts w:eastAsia="仿宋_GB2312"/>
                <w:szCs w:val="21"/>
              </w:rPr>
            </w:pPr>
            <w:r>
              <w:rPr>
                <w:rFonts w:eastAsia="仿宋_GB2312"/>
                <w:szCs w:val="21"/>
              </w:rPr>
              <w:t>评审会召开时间</w:t>
            </w:r>
          </w:p>
        </w:tc>
        <w:tc>
          <w:tcPr>
            <w:tcW w:w="2388" w:type="dxa"/>
            <w:vAlign w:val="center"/>
          </w:tcPr>
          <w:p>
            <w:pPr>
              <w:snapToGrid w:val="0"/>
              <w:jc w:val="center"/>
              <w:rPr>
                <w:rFonts w:eastAsia="仿宋_GB2312"/>
                <w:szCs w:val="21"/>
              </w:rPr>
            </w:pPr>
            <w:r>
              <w:rPr>
                <w:rFonts w:eastAsia="仿宋_GB2312"/>
                <w:szCs w:val="21"/>
              </w:rPr>
              <w:t>2021年</w:t>
            </w:r>
            <w:r>
              <w:rPr>
                <w:rFonts w:hint="eastAsia" w:eastAsia="仿宋_GB2312"/>
                <w:szCs w:val="21"/>
                <w:lang w:val="en-US" w:eastAsia="zh-CN"/>
              </w:rPr>
              <w:t>12</w:t>
            </w:r>
            <w:r>
              <w:rPr>
                <w:rFonts w:eastAsia="仿宋_GB2312"/>
                <w:szCs w:val="21"/>
              </w:rPr>
              <w:t>月</w:t>
            </w:r>
            <w:r>
              <w:rPr>
                <w:rFonts w:hint="eastAsia" w:eastAsia="仿宋_GB2312"/>
                <w:szCs w:val="21"/>
                <w:lang w:val="en-US" w:eastAsia="zh-CN"/>
              </w:rPr>
              <w:t>31</w:t>
            </w:r>
            <w:r>
              <w:rPr>
                <w:rFonts w:eastAsia="仿宋_GB2312"/>
                <w:szCs w:val="21"/>
              </w:rPr>
              <w:t>日</w:t>
            </w:r>
          </w:p>
        </w:tc>
        <w:tc>
          <w:tcPr>
            <w:tcW w:w="989" w:type="dxa"/>
            <w:vAlign w:val="center"/>
          </w:tcPr>
          <w:p>
            <w:pPr>
              <w:snapToGrid w:val="0"/>
              <w:jc w:val="center"/>
              <w:rPr>
                <w:rFonts w:eastAsia="仿宋_GB2312"/>
                <w:szCs w:val="21"/>
              </w:rPr>
            </w:pPr>
            <w:r>
              <w:rPr>
                <w:rFonts w:eastAsia="仿宋_GB2312"/>
                <w:szCs w:val="21"/>
              </w:rPr>
              <w:t>地点</w:t>
            </w:r>
          </w:p>
        </w:tc>
        <w:tc>
          <w:tcPr>
            <w:tcW w:w="3179" w:type="dxa"/>
            <w:vAlign w:val="center"/>
          </w:tcPr>
          <w:p>
            <w:pPr>
              <w:snapToGrid w:val="0"/>
              <w:jc w:val="center"/>
              <w:rPr>
                <w:rFonts w:eastAsia="仿宋_GB2312"/>
                <w:szCs w:val="21"/>
              </w:rPr>
            </w:pPr>
            <w:r>
              <w:rPr>
                <w:rFonts w:eastAsia="仿宋_GB2312"/>
                <w:szCs w:val="21"/>
              </w:rPr>
              <w:t>沈阳市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399" w:hRule="atLeast"/>
          <w:jc w:val="center"/>
        </w:trPr>
        <w:tc>
          <w:tcPr>
            <w:tcW w:w="8819" w:type="dxa"/>
            <w:gridSpan w:val="4"/>
          </w:tcPr>
          <w:p>
            <w:pPr>
              <w:spacing w:line="420" w:lineRule="exact"/>
              <w:ind w:left="-2" w:leftChars="-1" w:right="-2" w:rightChars="-1" w:firstLine="482" w:firstLineChars="200"/>
              <w:rPr>
                <w:rFonts w:eastAsia="仿宋_GB2312"/>
                <w:sz w:val="24"/>
              </w:rPr>
            </w:pPr>
            <w:r>
              <w:rPr>
                <w:rFonts w:eastAsia="仿宋_GB2312"/>
                <w:b/>
                <w:bCs/>
                <w:sz w:val="24"/>
              </w:rPr>
              <w:t>评审意见：</w:t>
            </w:r>
          </w:p>
          <w:p>
            <w:pPr>
              <w:snapToGrid w:val="0"/>
              <w:spacing w:line="400" w:lineRule="exact"/>
              <w:ind w:firstLine="480" w:firstLineChars="200"/>
              <w:rPr>
                <w:rFonts w:eastAsia="仿宋_GB2312"/>
                <w:sz w:val="24"/>
              </w:rPr>
            </w:pPr>
            <w:r>
              <w:rPr>
                <w:rFonts w:eastAsia="仿宋_GB2312"/>
                <w:sz w:val="24"/>
              </w:rPr>
              <w:t>2021年</w:t>
            </w:r>
            <w:r>
              <w:rPr>
                <w:rFonts w:hint="eastAsia" w:eastAsia="仿宋_GB2312"/>
                <w:sz w:val="24"/>
                <w:lang w:val="en-US" w:eastAsia="zh-CN"/>
              </w:rPr>
              <w:t>12</w:t>
            </w:r>
            <w:r>
              <w:rPr>
                <w:rFonts w:eastAsia="仿宋_GB2312"/>
                <w:sz w:val="24"/>
              </w:rPr>
              <w:t>月</w:t>
            </w:r>
            <w:r>
              <w:rPr>
                <w:rFonts w:hint="eastAsia" w:eastAsia="仿宋_GB2312"/>
                <w:sz w:val="24"/>
                <w:lang w:val="en-US" w:eastAsia="zh-CN"/>
              </w:rPr>
              <w:t>31</w:t>
            </w:r>
            <w:r>
              <w:rPr>
                <w:rFonts w:eastAsia="仿宋_GB2312"/>
                <w:sz w:val="24"/>
              </w:rPr>
              <w:t>日，沈阳市生态环境局会同沈阳市自然资源局委托沈阳市环境技术评估中心组织召开了《</w:t>
            </w:r>
            <w:r>
              <w:rPr>
                <w:rFonts w:hint="eastAsia" w:eastAsia="仿宋_GB2312"/>
                <w:sz w:val="24"/>
              </w:rPr>
              <w:t>沈阳北方交通重工集团有限公司（二期、三期6#、11#、10#）地块</w:t>
            </w:r>
            <w:r>
              <w:rPr>
                <w:rFonts w:hint="eastAsia" w:eastAsia="仿宋_GB2312"/>
                <w:sz w:val="24"/>
                <w:lang w:val="en-US" w:eastAsia="zh-CN"/>
              </w:rPr>
              <w:t>土</w:t>
            </w:r>
            <w:r>
              <w:rPr>
                <w:rFonts w:eastAsia="仿宋_GB2312"/>
                <w:sz w:val="24"/>
              </w:rPr>
              <w:t>壤污染状况调查报告》（以下简称《报告》）专家评审会。参加会议的单位有沈阳市经济技术开发区生态环境分局、沈阳市自然资源局经济技术开发区分局、送审单位</w:t>
            </w:r>
            <w:r>
              <w:rPr>
                <w:rFonts w:hint="eastAsia" w:eastAsia="仿宋_GB2312"/>
                <w:sz w:val="24"/>
              </w:rPr>
              <w:t>沈阳北方交通重工集团有限公司</w:t>
            </w:r>
            <w:r>
              <w:rPr>
                <w:rFonts w:eastAsia="仿宋_GB2312"/>
                <w:sz w:val="24"/>
              </w:rPr>
              <w:t>及报告编制单位</w:t>
            </w:r>
            <w:r>
              <w:rPr>
                <w:rFonts w:hint="eastAsia" w:eastAsia="仿宋_GB2312"/>
                <w:sz w:val="24"/>
              </w:rPr>
              <w:t>沈阳克林环境检测有限公司</w:t>
            </w:r>
            <w:r>
              <w:rPr>
                <w:rFonts w:eastAsia="仿宋_GB2312"/>
                <w:sz w:val="24"/>
              </w:rPr>
              <w:t>。专家组踏勘了现场，听取了报告编制单位的汇报，审阅了相关资料，通过质询、讨论，形成如下意见：</w:t>
            </w:r>
          </w:p>
          <w:p>
            <w:pPr>
              <w:snapToGrid w:val="0"/>
              <w:spacing w:line="400" w:lineRule="exact"/>
              <w:ind w:firstLine="480" w:firstLineChars="200"/>
              <w:rPr>
                <w:rFonts w:eastAsia="仿宋_GB2312"/>
                <w:sz w:val="24"/>
              </w:rPr>
            </w:pPr>
            <w:r>
              <w:rPr>
                <w:rFonts w:eastAsia="仿宋_GB2312"/>
                <w:sz w:val="24"/>
              </w:rPr>
              <w:t>土壤污染状况调查程序与方法符合国家相关标准规范要求。土壤污染状况调查报告为根据国家相关标准规范可以结束调查时的完整调查报告。土壤污染状况调查报告包括了地块基本信息、土壤是否受到污染、污染物含量是否超过土壤污染风险管控标准及污染类型、污染来源、地下水是否受到污染等内容。本地块污染物含量未超过《土壤环境质量 建设用地土壤污染风险管控标准（试行）》（GB</w:t>
            </w:r>
            <w:r>
              <w:rPr>
                <w:rFonts w:hint="eastAsia" w:eastAsia="仿宋_GB2312"/>
                <w:sz w:val="24"/>
                <w:lang w:val="en-US" w:eastAsia="zh-CN"/>
              </w:rPr>
              <w:t xml:space="preserve"> </w:t>
            </w:r>
            <w:r>
              <w:rPr>
                <w:rFonts w:eastAsia="仿宋_GB2312"/>
                <w:sz w:val="24"/>
              </w:rPr>
              <w:t>36600-2018）中第</w:t>
            </w:r>
            <w:r>
              <w:rPr>
                <w:rFonts w:hint="eastAsia" w:eastAsia="仿宋_GB2312"/>
                <w:sz w:val="24"/>
                <w:lang w:val="en-US" w:eastAsia="zh-CN"/>
              </w:rPr>
              <w:t>一</w:t>
            </w:r>
            <w:r>
              <w:rPr>
                <w:rFonts w:eastAsia="仿宋_GB2312"/>
                <w:sz w:val="24"/>
              </w:rPr>
              <w:t>类用地筛选值的结论客观可信。</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eastAsia="仿宋_GB2312"/>
                <w:sz w:val="24"/>
              </w:rPr>
            </w:pPr>
            <w:r>
              <w:rPr>
                <w:rFonts w:eastAsia="仿宋_GB2312"/>
                <w:sz w:val="24"/>
              </w:rPr>
              <w:t>专家组同意《报告》通过评审。《报告》修改完善后可作为下一步工作的依据。</w:t>
            </w:r>
          </w:p>
          <w:p>
            <w:pPr>
              <w:keepNext w:val="0"/>
              <w:keepLines w:val="0"/>
              <w:pageBreakBefore w:val="0"/>
              <w:widowControl w:val="0"/>
              <w:kinsoku/>
              <w:wordWrap/>
              <w:overflowPunct/>
              <w:topLinePunct w:val="0"/>
              <w:autoSpaceDE/>
              <w:autoSpaceDN/>
              <w:bidi w:val="0"/>
              <w:adjustRightInd/>
              <w:snapToGrid w:val="0"/>
              <w:spacing w:line="400" w:lineRule="exact"/>
              <w:ind w:left="-2" w:leftChars="-1" w:right="-2" w:rightChars="-1" w:firstLine="482" w:firstLineChars="200"/>
              <w:textAlignment w:val="auto"/>
              <w:rPr>
                <w:rFonts w:eastAsia="仿宋_GB2312"/>
                <w:b/>
                <w:sz w:val="24"/>
              </w:rPr>
            </w:pPr>
            <w:r>
              <w:rPr>
                <w:rFonts w:eastAsia="仿宋_GB2312"/>
                <w:b/>
                <w:sz w:val="24"/>
              </w:rPr>
              <w:t>建议：</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eastAsia="仿宋_GB2312"/>
                <w:sz w:val="24"/>
              </w:rPr>
            </w:pPr>
            <w:r>
              <w:rPr>
                <w:rFonts w:eastAsia="仿宋_GB2312"/>
                <w:sz w:val="24"/>
              </w:rPr>
              <w:t>1.</w:t>
            </w:r>
            <w:r>
              <w:rPr>
                <w:rFonts w:hint="eastAsia" w:eastAsia="仿宋_GB2312"/>
                <w:sz w:val="24"/>
                <w:lang w:val="en-US" w:eastAsia="zh-CN"/>
              </w:rPr>
              <w:t>完善功能分区，并根据污染物检测结果对照排污环节进行深入分析</w:t>
            </w:r>
            <w:r>
              <w:rPr>
                <w:rFonts w:eastAsia="仿宋_GB2312"/>
                <w:sz w:val="24"/>
              </w:rPr>
              <w:t>；</w:t>
            </w:r>
          </w:p>
          <w:p>
            <w:pPr>
              <w:snapToGrid w:val="0"/>
              <w:spacing w:line="400" w:lineRule="exact"/>
              <w:ind w:firstLine="480" w:firstLineChars="200"/>
              <w:rPr>
                <w:rFonts w:hint="eastAsia" w:eastAsia="仿宋_GB2312"/>
                <w:sz w:val="24"/>
              </w:rPr>
            </w:pPr>
            <w:r>
              <w:rPr>
                <w:rFonts w:eastAsia="仿宋_GB2312"/>
                <w:sz w:val="24"/>
              </w:rPr>
              <w:t>2.</w:t>
            </w:r>
            <w:r>
              <w:rPr>
                <w:rFonts w:hint="eastAsia" w:eastAsia="仿宋_GB2312"/>
                <w:sz w:val="24"/>
                <w:lang w:val="en-US" w:eastAsia="zh-CN"/>
              </w:rPr>
              <w:t>梳理人员访谈中相关生产历史的内容</w:t>
            </w:r>
            <w:r>
              <w:rPr>
                <w:rFonts w:hint="eastAsia" w:eastAsia="仿宋_GB2312"/>
                <w:sz w:val="24"/>
              </w:rPr>
              <w:t>；</w:t>
            </w:r>
          </w:p>
          <w:p>
            <w:pPr>
              <w:snapToGrid w:val="0"/>
              <w:spacing w:line="400" w:lineRule="exact"/>
              <w:ind w:firstLine="480" w:firstLineChars="200"/>
              <w:rPr>
                <w:rFonts w:eastAsia="仿宋_GB2312"/>
                <w:sz w:val="24"/>
              </w:rPr>
            </w:pPr>
            <w:r>
              <w:rPr>
                <w:rFonts w:hint="eastAsia" w:eastAsia="仿宋_GB2312"/>
                <w:sz w:val="24"/>
                <w:lang w:val="en-US" w:eastAsia="zh-CN"/>
              </w:rPr>
              <w:t>3</w:t>
            </w:r>
            <w:r>
              <w:rPr>
                <w:rFonts w:hint="eastAsia" w:eastAsia="仿宋_GB2312"/>
                <w:sz w:val="24"/>
              </w:rPr>
              <w:t>.</w:t>
            </w:r>
            <w:r>
              <w:rPr>
                <w:rFonts w:hint="eastAsia" w:eastAsia="仿宋_GB2312"/>
                <w:sz w:val="24"/>
                <w:lang w:val="en-US" w:eastAsia="zh-CN"/>
              </w:rPr>
              <w:t>补充</w:t>
            </w:r>
            <w:bookmarkStart w:id="0" w:name="_GoBack"/>
            <w:bookmarkEnd w:id="0"/>
            <w:r>
              <w:rPr>
                <w:rFonts w:hint="eastAsia" w:eastAsia="仿宋_GB2312"/>
                <w:sz w:val="24"/>
                <w:lang w:val="en-US" w:eastAsia="zh-CN"/>
              </w:rPr>
              <w:t>不确定性分析</w:t>
            </w:r>
            <w:r>
              <w:rPr>
                <w:rFonts w:eastAsia="仿宋_GB2312"/>
                <w:sz w:val="24"/>
              </w:rPr>
              <w:t>。</w:t>
            </w:r>
          </w:p>
          <w:p>
            <w:pPr>
              <w:spacing w:line="420" w:lineRule="exact"/>
              <w:ind w:left="-2" w:leftChars="-1" w:right="-2" w:rightChars="-1" w:firstLine="480" w:firstLineChars="200"/>
              <w:rPr>
                <w:rFonts w:hint="eastAsia" w:eastAsia="仿宋_GB2312"/>
                <w:sz w:val="24"/>
              </w:rPr>
            </w:pPr>
          </w:p>
          <w:p>
            <w:pPr>
              <w:spacing w:line="420" w:lineRule="exact"/>
              <w:ind w:left="-2" w:leftChars="-1" w:right="-2" w:rightChars="-1" w:firstLine="480" w:firstLineChars="200"/>
              <w:rPr>
                <w:rFonts w:eastAsia="仿宋_GB2312"/>
                <w:sz w:val="24"/>
              </w:rPr>
            </w:pPr>
            <w:r>
              <w:rPr>
                <w:rFonts w:eastAsia="仿宋_GB2312"/>
                <w:sz w:val="24"/>
              </w:rPr>
              <w:t xml:space="preserve">专家组（签名）：   </w:t>
            </w:r>
          </w:p>
          <w:p>
            <w:pPr>
              <w:spacing w:line="420" w:lineRule="exact"/>
              <w:ind w:left="-2" w:leftChars="-1" w:right="-2" w:rightChars="-1" w:firstLine="480" w:firstLineChars="200"/>
              <w:jc w:val="center"/>
              <w:rPr>
                <w:rFonts w:eastAsia="仿宋_GB2312"/>
                <w:sz w:val="24"/>
              </w:rPr>
            </w:pPr>
            <w:r>
              <w:rPr>
                <w:rFonts w:eastAsia="仿宋_GB2312"/>
                <w:sz w:val="24"/>
              </w:rPr>
              <w:t xml:space="preserve">                                                                                         </w:t>
            </w:r>
          </w:p>
          <w:p>
            <w:pPr>
              <w:spacing w:line="420" w:lineRule="exact"/>
              <w:ind w:left="-2" w:leftChars="-1" w:right="-2" w:rightChars="-1" w:firstLine="480" w:firstLineChars="200"/>
              <w:jc w:val="center"/>
              <w:rPr>
                <w:rFonts w:eastAsia="仿宋_GB2312"/>
                <w:sz w:val="24"/>
              </w:rPr>
            </w:pPr>
            <w:r>
              <w:rPr>
                <w:rFonts w:eastAsia="仿宋_GB2312"/>
                <w:sz w:val="24"/>
              </w:rPr>
              <w:t xml:space="preserve">                          </w:t>
            </w:r>
          </w:p>
          <w:p>
            <w:pPr>
              <w:spacing w:line="420" w:lineRule="exact"/>
              <w:ind w:left="-2" w:leftChars="-1" w:right="-2" w:rightChars="-1" w:firstLine="480" w:firstLineChars="200"/>
              <w:jc w:val="center"/>
              <w:rPr>
                <w:rFonts w:eastAsia="仿宋_GB2312"/>
                <w:sz w:val="24"/>
              </w:rPr>
            </w:pPr>
            <w:r>
              <w:rPr>
                <w:rFonts w:eastAsia="仿宋_GB2312"/>
                <w:sz w:val="24"/>
              </w:rPr>
              <w:t xml:space="preserve">                                      2021年</w:t>
            </w:r>
            <w:r>
              <w:rPr>
                <w:rFonts w:hint="eastAsia" w:eastAsia="仿宋_GB2312"/>
                <w:sz w:val="24"/>
                <w:lang w:val="en-US" w:eastAsia="zh-CN"/>
              </w:rPr>
              <w:t>12</w:t>
            </w:r>
            <w:r>
              <w:rPr>
                <w:rFonts w:eastAsia="仿宋_GB2312"/>
                <w:sz w:val="24"/>
              </w:rPr>
              <w:t>月</w:t>
            </w:r>
            <w:r>
              <w:rPr>
                <w:rFonts w:hint="eastAsia" w:eastAsia="仿宋_GB2312"/>
                <w:sz w:val="24"/>
                <w:lang w:val="en-US" w:eastAsia="zh-CN"/>
              </w:rPr>
              <w:t>31</w:t>
            </w:r>
            <w:r>
              <w:rPr>
                <w:rFonts w:eastAsia="仿宋_GB2312"/>
                <w:sz w:val="24"/>
              </w:rPr>
              <w:t>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6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11206350"/>
    <w:rsid w:val="00026B40"/>
    <w:rsid w:val="000C45AA"/>
    <w:rsid w:val="000D33FA"/>
    <w:rsid w:val="001222F2"/>
    <w:rsid w:val="001A3386"/>
    <w:rsid w:val="00211BE0"/>
    <w:rsid w:val="00351C6F"/>
    <w:rsid w:val="00385918"/>
    <w:rsid w:val="0046104F"/>
    <w:rsid w:val="0049177E"/>
    <w:rsid w:val="00492DFE"/>
    <w:rsid w:val="004A3020"/>
    <w:rsid w:val="004C06F4"/>
    <w:rsid w:val="00607C71"/>
    <w:rsid w:val="006601CD"/>
    <w:rsid w:val="00782185"/>
    <w:rsid w:val="009E0EC6"/>
    <w:rsid w:val="00A1249D"/>
    <w:rsid w:val="00A76943"/>
    <w:rsid w:val="00AC629B"/>
    <w:rsid w:val="00BE4F4F"/>
    <w:rsid w:val="00C12613"/>
    <w:rsid w:val="00D93644"/>
    <w:rsid w:val="00DB32CC"/>
    <w:rsid w:val="00E66DE1"/>
    <w:rsid w:val="00E75A85"/>
    <w:rsid w:val="00EB3FDF"/>
    <w:rsid w:val="00F47F97"/>
    <w:rsid w:val="00F85D18"/>
    <w:rsid w:val="03BB00EF"/>
    <w:rsid w:val="05806C35"/>
    <w:rsid w:val="09F83665"/>
    <w:rsid w:val="0E992032"/>
    <w:rsid w:val="11206350"/>
    <w:rsid w:val="19743F80"/>
    <w:rsid w:val="19E54703"/>
    <w:rsid w:val="22AB47EC"/>
    <w:rsid w:val="288F43C9"/>
    <w:rsid w:val="29A01B46"/>
    <w:rsid w:val="2D430B74"/>
    <w:rsid w:val="2E3B692C"/>
    <w:rsid w:val="2EA74FD6"/>
    <w:rsid w:val="43AC469A"/>
    <w:rsid w:val="46297C3B"/>
    <w:rsid w:val="463D6608"/>
    <w:rsid w:val="485355B0"/>
    <w:rsid w:val="4FF65B4D"/>
    <w:rsid w:val="508C7419"/>
    <w:rsid w:val="5DDD04BB"/>
    <w:rsid w:val="5F9672DC"/>
    <w:rsid w:val="60740B44"/>
    <w:rsid w:val="63FA3095"/>
    <w:rsid w:val="6ED677C1"/>
    <w:rsid w:val="74F6547D"/>
    <w:rsid w:val="77965035"/>
    <w:rsid w:val="780B4F3F"/>
    <w:rsid w:val="7B6D69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qFormat/>
    <w:uiPriority w:val="0"/>
    <w:pPr>
      <w:spacing w:after="120" w:line="480" w:lineRule="auto"/>
      <w:ind w:left="420" w:leftChars="200"/>
    </w:pPr>
  </w:style>
  <w:style w:type="paragraph" w:styleId="3">
    <w:name w:val="Body Text Indent"/>
    <w:basedOn w:val="1"/>
    <w:qFormat/>
    <w:uiPriority w:val="0"/>
    <w:pPr>
      <w:spacing w:after="120"/>
      <w:ind w:left="420" w:leftChars="200"/>
    </w:pPr>
  </w:style>
  <w:style w:type="paragraph" w:styleId="4">
    <w:name w:val="Body Text First Indent 2"/>
    <w:basedOn w:val="3"/>
    <w:qFormat/>
    <w:uiPriority w:val="0"/>
    <w:pPr>
      <w:adjustRightInd w:val="0"/>
      <w:spacing w:line="312" w:lineRule="atLeast"/>
      <w:ind w:firstLine="420" w:firstLineChars="200"/>
      <w:textAlignment w:val="baseline"/>
    </w:pPr>
    <w:rPr>
      <w:kern w:val="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713</Words>
  <Characters>219</Characters>
  <Lines>1</Lines>
  <Paragraphs>1</Paragraphs>
  <TotalTime>3</TotalTime>
  <ScaleCrop>false</ScaleCrop>
  <LinksUpToDate>false</LinksUpToDate>
  <CharactersWithSpaces>931</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2021-09-15T05:22:00Z</dcterms:created>
  <dc:creator>洋洋洋</dc:creator>
  <cp:lastModifiedBy>Mr.Guo</cp:lastModifiedBy>
  <dcterms:modified xsi:type="dcterms:W3CDTF">2021-12-31T08:36:37Z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1EE7FE5430EC4A48862B4421707486A1</vt:lpwstr>
  </property>
</Properties>
</file>